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16" w:rsidRPr="00465FF8" w:rsidRDefault="004D5616" w:rsidP="004D5616">
      <w:pPr>
        <w:rPr>
          <w:rFonts w:asciiTheme="majorEastAsia" w:eastAsiaTheme="majorEastAsia" w:hAnsiTheme="majorEastAsia"/>
          <w:b/>
          <w:spacing w:val="20"/>
          <w:sz w:val="30"/>
          <w:szCs w:val="30"/>
        </w:rPr>
      </w:pPr>
      <w:r w:rsidRPr="00465FF8">
        <w:rPr>
          <w:rFonts w:asciiTheme="majorEastAsia" w:eastAsiaTheme="majorEastAsia" w:hAnsiTheme="majorEastAsia" w:hint="eastAsia"/>
          <w:b/>
          <w:spacing w:val="20"/>
          <w:sz w:val="30"/>
          <w:szCs w:val="30"/>
        </w:rPr>
        <w:t>附件</w:t>
      </w:r>
      <w:r>
        <w:rPr>
          <w:rFonts w:asciiTheme="majorEastAsia" w:eastAsiaTheme="majorEastAsia" w:hAnsiTheme="majorEastAsia" w:hint="eastAsia"/>
          <w:b/>
          <w:spacing w:val="20"/>
          <w:sz w:val="30"/>
          <w:szCs w:val="30"/>
        </w:rPr>
        <w:t>1</w:t>
      </w:r>
    </w:p>
    <w:p w:rsidR="004D5616" w:rsidRDefault="004D5616" w:rsidP="004D5616">
      <w:pPr>
        <w:jc w:val="center"/>
        <w:rPr>
          <w:rFonts w:asciiTheme="majorEastAsia" w:eastAsiaTheme="majorEastAsia" w:hAnsiTheme="majorEastAsia"/>
          <w:b/>
          <w:spacing w:val="20"/>
          <w:sz w:val="44"/>
          <w:szCs w:val="32"/>
        </w:rPr>
      </w:pPr>
      <w:r w:rsidRPr="00E2485E">
        <w:rPr>
          <w:rFonts w:asciiTheme="majorEastAsia" w:eastAsiaTheme="majorEastAsia" w:hAnsiTheme="majorEastAsia" w:hint="eastAsia"/>
          <w:b/>
          <w:spacing w:val="20"/>
          <w:sz w:val="44"/>
          <w:szCs w:val="32"/>
        </w:rPr>
        <w:t>江苏省农业科学院科技</w:t>
      </w:r>
      <w:r w:rsidRPr="00E2485E">
        <w:rPr>
          <w:rFonts w:asciiTheme="majorEastAsia" w:eastAsiaTheme="majorEastAsia" w:hAnsiTheme="majorEastAsia"/>
          <w:b/>
          <w:spacing w:val="20"/>
          <w:sz w:val="44"/>
          <w:szCs w:val="32"/>
        </w:rPr>
        <w:t>支撑人员职业技能竞赛</w:t>
      </w:r>
      <w:r>
        <w:rPr>
          <w:rFonts w:asciiTheme="majorEastAsia" w:eastAsiaTheme="majorEastAsia" w:hAnsiTheme="majorEastAsia" w:hint="eastAsia"/>
          <w:b/>
          <w:spacing w:val="20"/>
          <w:sz w:val="44"/>
          <w:szCs w:val="32"/>
        </w:rPr>
        <w:t>题库</w:t>
      </w:r>
      <w:r w:rsidRPr="00E2485E">
        <w:rPr>
          <w:rFonts w:asciiTheme="majorEastAsia" w:eastAsiaTheme="majorEastAsia" w:hAnsiTheme="majorEastAsia" w:hint="eastAsia"/>
          <w:b/>
          <w:spacing w:val="20"/>
          <w:sz w:val="44"/>
          <w:szCs w:val="32"/>
        </w:rPr>
        <w:t>（实验能力）</w:t>
      </w:r>
    </w:p>
    <w:p w:rsidR="004D5616" w:rsidRPr="00E2485E" w:rsidRDefault="004D5616" w:rsidP="004D5616">
      <w:pPr>
        <w:ind w:firstLineChars="200" w:firstLine="723"/>
        <w:rPr>
          <w:rFonts w:ascii="仿宋_GB2312" w:eastAsia="仿宋_GB2312"/>
          <w:b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b/>
          <w:spacing w:val="20"/>
          <w:sz w:val="32"/>
          <w:szCs w:val="32"/>
        </w:rPr>
        <w:t>一、填空题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1、色谱分析中的两相是指（ 固定相</w:t>
      </w:r>
      <w:r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）和（</w:t>
      </w:r>
      <w:r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流动相）。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2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、色谱定量分析的依据是（ 峰面积</w:t>
      </w:r>
      <w:r w:rsidR="004D5616"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）与组分的含量成正比。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3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、液相色谱使用紫外可见光检测器的工作原理是（ 郞伯-比尔定律 ）。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4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、气相色谱分析中，分离非极性物质，试样中各组分按沸点高低分离，（ 沸点低 ）的组分先流出，（ 沸点高 ）的组分后流出。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5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、液相色谱常用的检测器有（ 紫外 ）、（ 示差 ）、（ 电导 ）等。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6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、液相色谱流动相过滤必须使用粒径为（0.45微米）的过滤膜。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7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</w:t>
      </w:r>
      <w:r w:rsidR="004D5616" w:rsidRPr="00E2485E">
        <w:rPr>
          <w:rFonts w:ascii="仿宋_GB2312" w:eastAsia="仿宋_GB2312"/>
          <w:spacing w:val="20"/>
          <w:sz w:val="32"/>
          <w:szCs w:val="32"/>
        </w:rPr>
        <w:t>实验完成后，废液应（分类收集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）</w:t>
      </w:r>
      <w:r w:rsidR="004D5616" w:rsidRPr="00E2485E">
        <w:rPr>
          <w:rFonts w:ascii="仿宋_GB2312" w:eastAsia="仿宋_GB2312"/>
          <w:spacing w:val="20"/>
          <w:sz w:val="32"/>
          <w:szCs w:val="32"/>
        </w:rPr>
        <w:t>后交专业回收单位处理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8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、含水分样品需要先（干燥），然后再进行扫描电镜观察。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9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、使用扫描电镜时，样品越小所耗费的实验时间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lastRenderedPageBreak/>
        <w:t>越（ 短 ）。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1</w:t>
      </w:r>
      <w:r w:rsidR="000564B8">
        <w:rPr>
          <w:rFonts w:ascii="仿宋_GB2312" w:eastAsia="仿宋_GB2312"/>
          <w:spacing w:val="20"/>
          <w:sz w:val="32"/>
          <w:szCs w:val="32"/>
        </w:rPr>
        <w:t>0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、使用共聚焦显微镜时，样品一般放在（载玻片）或（共聚焦小皿）上观察。</w:t>
      </w:r>
    </w:p>
    <w:p w:rsidR="004D5616" w:rsidRPr="00E2485E" w:rsidRDefault="004D5616" w:rsidP="004D5616">
      <w:pPr>
        <w:ind w:firstLineChars="200" w:firstLine="723"/>
        <w:rPr>
          <w:rFonts w:ascii="仿宋_GB2312" w:eastAsia="仿宋_GB2312"/>
          <w:b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b/>
          <w:spacing w:val="20"/>
          <w:sz w:val="32"/>
          <w:szCs w:val="32"/>
        </w:rPr>
        <w:t>二、单项选择题</w:t>
      </w:r>
      <w:bookmarkStart w:id="0" w:name="_GoBack"/>
      <w:bookmarkEnd w:id="0"/>
    </w:p>
    <w:p w:rsidR="004D5616" w:rsidRPr="00E2485E" w:rsidRDefault="004D5616" w:rsidP="004D5616">
      <w:pPr>
        <w:ind w:firstLine="64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/>
          <w:spacing w:val="20"/>
          <w:sz w:val="32"/>
          <w:szCs w:val="32"/>
        </w:rPr>
        <w:t>1</w:t>
      </w:r>
      <w:r>
        <w:rPr>
          <w:rFonts w:ascii="仿宋_GB2312" w:eastAsia="仿宋_GB2312" w:hint="eastAsia"/>
          <w:spacing w:val="20"/>
          <w:sz w:val="32"/>
          <w:szCs w:val="32"/>
        </w:rPr>
        <w:t>、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在环保分析中，常常要监测水中多环芳烃，如用高效液相色谱分析，应选用下述哪种检测器(A)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A、荧光检测器   B、示差折光检测器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C、电导检测器 </w:t>
      </w:r>
      <w:r>
        <w:rPr>
          <w:rFonts w:ascii="仿宋_GB2312" w:eastAsia="仿宋_GB2312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 D、紫外吸收检测器</w:t>
      </w:r>
    </w:p>
    <w:p w:rsidR="004D5616" w:rsidRPr="00E2485E" w:rsidRDefault="000564B8" w:rsidP="004D5616">
      <w:pPr>
        <w:ind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2</w:t>
      </w:r>
      <w:r w:rsidR="004D5616">
        <w:rPr>
          <w:rFonts w:ascii="仿宋_GB2312" w:eastAsia="仿宋_GB2312" w:hint="eastAsia"/>
          <w:spacing w:val="20"/>
          <w:sz w:val="32"/>
          <w:szCs w:val="32"/>
        </w:rPr>
        <w:t>、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不是高液相色谱仪中的检测器是（B）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A、紫外吸收检测器   B、红外检测器 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C、差示折光检测   D、电导检测器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3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、在高效液相色谱仪中保证流动相以稳定的速度流过色谱柱的部件是（B）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A、贮液器   B、输液泵 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C、检测器   D、温控装置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4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、在气相色谱分析中，用于定性分析的参数是（A）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A 保留值    B峰面积   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C分离度      D半峰宽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5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、若只需做一个复杂样品中某个特殊组分的定量分析，用色谱法时，宜选用（D）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A、归一化法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B、标准曲线法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C、外标法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D、内标法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lastRenderedPageBreak/>
        <w:t>6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、在300nm进行分光光度测定时，应选用（A）比色皿。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A、石英比色皿    B、玻璃比色皿 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C、红外比色皿    D、其它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7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、PCR的基本反应过程包括（A）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/>
          <w:spacing w:val="20"/>
          <w:sz w:val="32"/>
          <w:szCs w:val="32"/>
        </w:rPr>
        <w:t>A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、变性、退火、延伸 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B、变性、延伸 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C、变性、退火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 </w:t>
      </w:r>
      <w:r>
        <w:rPr>
          <w:rFonts w:ascii="仿宋_GB2312" w:eastAsia="仿宋_GB2312"/>
          <w:spacing w:val="20"/>
          <w:sz w:val="32"/>
          <w:szCs w:val="32"/>
        </w:rPr>
        <w:t xml:space="preserve">     </w:t>
      </w:r>
      <w:r w:rsidRPr="00E2485E">
        <w:rPr>
          <w:rFonts w:ascii="仿宋_GB2312" w:eastAsia="仿宋_GB2312"/>
          <w:spacing w:val="20"/>
          <w:sz w:val="32"/>
          <w:szCs w:val="32"/>
        </w:rPr>
        <w:t>D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、退火、延伸    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8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、PCR实验室一般包括( D )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/>
          <w:spacing w:val="20"/>
          <w:sz w:val="32"/>
          <w:szCs w:val="32"/>
        </w:rPr>
        <w:t>A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、试剂准备区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  <w:r>
        <w:rPr>
          <w:rFonts w:ascii="仿宋_GB2312" w:eastAsia="仿宋_GB2312"/>
          <w:spacing w:val="20"/>
          <w:sz w:val="32"/>
          <w:szCs w:val="32"/>
        </w:rPr>
        <w:t xml:space="preserve">      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B、标本制备区 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C、扩增区和产物分析区   D、A、B、C都含</w:t>
      </w:r>
    </w:p>
    <w:p w:rsidR="004D5616" w:rsidRPr="00E2485E" w:rsidRDefault="000564B8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>9</w:t>
      </w:r>
      <w:r w:rsidR="004D5616" w:rsidRPr="00E2485E">
        <w:rPr>
          <w:rFonts w:ascii="仿宋_GB2312" w:eastAsia="仿宋_GB2312" w:hint="eastAsia"/>
          <w:spacing w:val="20"/>
          <w:sz w:val="32"/>
          <w:szCs w:val="32"/>
        </w:rPr>
        <w:t>、PCR技术不仅为遗传病的诊断带来了便利，而且改进了检测细菌和病毒的方法。若要检测一个人是否感染了艾滋病病毒，你认为可以用PCR扩增血液中的（D）。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/>
          <w:spacing w:val="20"/>
          <w:sz w:val="32"/>
          <w:szCs w:val="32"/>
        </w:rPr>
        <w:t>A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、白细胞DNA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  <w:r>
        <w:rPr>
          <w:rFonts w:ascii="仿宋_GB2312" w:eastAsia="仿宋_GB2312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 B、病毒蛋白质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C、血浆抗体  </w:t>
      </w:r>
      <w:r>
        <w:rPr>
          <w:rFonts w:ascii="仿宋_GB2312" w:eastAsia="仿宋_GB2312"/>
          <w:spacing w:val="20"/>
          <w:sz w:val="32"/>
          <w:szCs w:val="32"/>
        </w:rPr>
        <w:t xml:space="preserve"> 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 D、病毒核酸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1</w:t>
      </w:r>
      <w:r w:rsidR="000564B8">
        <w:rPr>
          <w:rFonts w:ascii="仿宋_GB2312" w:eastAsia="仿宋_GB2312"/>
          <w:spacing w:val="20"/>
          <w:sz w:val="32"/>
          <w:szCs w:val="32"/>
        </w:rPr>
        <w:t>0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、用红外吸收光谱法测定有机物结构时，试样应该是（</w:t>
      </w:r>
      <w:r w:rsidRPr="00E2485E">
        <w:rPr>
          <w:rFonts w:ascii="仿宋_GB2312" w:eastAsia="仿宋_GB2312"/>
          <w:spacing w:val="20"/>
          <w:sz w:val="32"/>
          <w:szCs w:val="32"/>
        </w:rPr>
        <w:t>B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>）</w:t>
      </w:r>
    </w:p>
    <w:p w:rsidR="004D5616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/>
          <w:spacing w:val="20"/>
          <w:sz w:val="32"/>
          <w:szCs w:val="32"/>
        </w:rPr>
        <w:t>A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、单质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</w:t>
      </w:r>
      <w:r w:rsidRPr="00E2485E">
        <w:rPr>
          <w:rFonts w:ascii="仿宋_GB2312" w:eastAsia="仿宋_GB2312" w:hint="eastAsia"/>
          <w:spacing w:val="20"/>
          <w:sz w:val="32"/>
          <w:szCs w:val="32"/>
        </w:rPr>
        <w:t xml:space="preserve"> B、纯物质 </w:t>
      </w:r>
      <w:r w:rsidRPr="00E2485E">
        <w:rPr>
          <w:rFonts w:ascii="仿宋_GB2312" w:eastAsia="仿宋_GB2312"/>
          <w:spacing w:val="20"/>
          <w:sz w:val="32"/>
          <w:szCs w:val="32"/>
        </w:rPr>
        <w:t xml:space="preserve">  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C、混合物   D、任何试样</w:t>
      </w:r>
    </w:p>
    <w:p w:rsidR="004D5616" w:rsidRPr="00E2485E" w:rsidRDefault="004D5616" w:rsidP="004D5616">
      <w:pPr>
        <w:ind w:firstLineChars="200" w:firstLine="723"/>
        <w:rPr>
          <w:rFonts w:ascii="仿宋_GB2312" w:eastAsia="仿宋_GB2312"/>
          <w:b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b/>
          <w:spacing w:val="20"/>
          <w:sz w:val="32"/>
          <w:szCs w:val="32"/>
        </w:rPr>
        <w:t>三、简答题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t>1、如果实验室因电路打火，简述正确的处理方式？</w:t>
      </w:r>
    </w:p>
    <w:p w:rsidR="004D5616" w:rsidRPr="00E2485E" w:rsidRDefault="004D5616" w:rsidP="004D5616">
      <w:pPr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 w:rsidRPr="00E2485E">
        <w:rPr>
          <w:rFonts w:ascii="仿宋_GB2312" w:eastAsia="仿宋_GB2312" w:hint="eastAsia"/>
          <w:spacing w:val="20"/>
          <w:sz w:val="32"/>
          <w:szCs w:val="32"/>
        </w:rPr>
        <w:lastRenderedPageBreak/>
        <w:t>答：先切断电源，再用干粉或气体灭火器灭火，不可以直接泼水灭火，以防触电或电器爆炸伤人。如果火势太大，应迅速离开现场，并向有关部门报告以采取有效措施控制和扑救火灾。</w:t>
      </w:r>
    </w:p>
    <w:p w:rsidR="00C7153F" w:rsidRPr="004D5616" w:rsidRDefault="0037172E"/>
    <w:sectPr w:rsidR="00C7153F" w:rsidRPr="004D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2E" w:rsidRDefault="0037172E" w:rsidP="004D5616">
      <w:r>
        <w:separator/>
      </w:r>
    </w:p>
  </w:endnote>
  <w:endnote w:type="continuationSeparator" w:id="0">
    <w:p w:rsidR="0037172E" w:rsidRDefault="0037172E" w:rsidP="004D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2E" w:rsidRDefault="0037172E" w:rsidP="004D5616">
      <w:r>
        <w:separator/>
      </w:r>
    </w:p>
  </w:footnote>
  <w:footnote w:type="continuationSeparator" w:id="0">
    <w:p w:rsidR="0037172E" w:rsidRDefault="0037172E" w:rsidP="004D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6"/>
    <w:rsid w:val="000564B8"/>
    <w:rsid w:val="00266869"/>
    <w:rsid w:val="0037172E"/>
    <w:rsid w:val="004D5616"/>
    <w:rsid w:val="00A24EC6"/>
    <w:rsid w:val="00B16868"/>
    <w:rsid w:val="00BB65C7"/>
    <w:rsid w:val="00EE56C5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AC68"/>
  <w15:chartTrackingRefBased/>
  <w15:docId w15:val="{113CC143-DE84-4FD4-85AF-D726BACF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6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</dc:creator>
  <cp:keywords/>
  <dc:description/>
  <cp:lastModifiedBy>yd</cp:lastModifiedBy>
  <cp:revision>6</cp:revision>
  <dcterms:created xsi:type="dcterms:W3CDTF">2022-09-08T07:09:00Z</dcterms:created>
  <dcterms:modified xsi:type="dcterms:W3CDTF">2022-09-09T06:22:00Z</dcterms:modified>
</cp:coreProperties>
</file>